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7"/>
        <w:gridCol w:w="459"/>
        <w:gridCol w:w="10080"/>
        <w:tblGridChange w:id="0">
          <w:tblGrid>
            <w:gridCol w:w="477"/>
            <w:gridCol w:w="459"/>
            <w:gridCol w:w="10080"/>
          </w:tblGrid>
        </w:tblGridChange>
      </w:tblGrid>
      <w:tr>
        <w:tc>
          <w:tcPr>
            <w:gridSpan w:val="3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The purpose of this worksheet is to provide support for the convened IRB or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Designated Reviewers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when evaluating payments to subjects or their legally authorized representative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This worksheet is to be used. It does not have to be completed or retained.</w:t>
            </w:r>
          </w:p>
        </w:tc>
      </w:tr>
      <w:tr>
        <w:trPr>
          <w:trHeight w:val="72" w:hRule="atLeast"/>
        </w:trPr>
        <w:tc>
          <w:tcPr>
            <w:gridSpan w:val="3"/>
            <w:shd w:fill="000000" w:val="clear"/>
          </w:tcPr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60"/>
              </w:tabs>
              <w:spacing w:after="0" w:before="0" w:line="240" w:lineRule="auto"/>
              <w:ind w:left="720" w:right="0" w:hanging="720"/>
              <w:jc w:val="left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Requirements for Payments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(Check if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“Yes”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All must be checked)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All payments are described in the consent document including: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(Check if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“Yes”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All must be checked)</w:t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Amount</w:t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Method</w:t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Timing of disbursement</w:t>
            </w:r>
          </w:p>
        </w:tc>
      </w:tr>
      <w:tr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 to study subjects accrues as the study progresses and is not contingent upon the subject completing the entire study. (If not checked, both of the following must be checked)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 The study involves less than four visits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  Continuation in the study will not result in pain, discomfort, significant inconvenience or include procedures that involve greater than minimal risk.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The amount of payment and the proposed method and timing of disbursement is neither coercive nor unduly influential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</w:t>
            </w:r>
          </w:p>
        </w:tc>
      </w:tr>
      <w:tr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Any amount paid as a bonus for completion is reasonable and not so large as to unduly induce subjects to stay in the study when they would otherwise have withdrawn.</w:t>
            </w:r>
          </w:p>
        </w:tc>
      </w:tr>
      <w:tr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Compensation does not include a coupon good for a discount on the purchase price of the product once it has been approved.</w:t>
            </w:r>
          </w:p>
        </w:tc>
      </w:tr>
    </w:tbl>
    <w:p w:rsidR="00000000" w:rsidDel="00000000" w:rsidP="00000000" w:rsidRDefault="00000000" w:rsidRPr="00000000" w14:paraId="00000025">
      <w:pPr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 </w:t>
      </w:r>
    </w:p>
    <w:sectPr>
      <w:headerReference r:id="rId7" w:type="default"/>
      <w:footerReference r:id="rId8" w:type="default"/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80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hyperlink r:id="rId1">
        <w:r w:rsidDel="00000000" w:rsidR="00000000" w:rsidRPr="00000000">
          <w:rPr>
            <w:rFonts w:ascii="Arial Narrow" w:cs="Arial Narrow" w:eastAsia="Arial Narrow" w:hAnsi="Arial Narrow"/>
            <w:b w:val="0"/>
            <w:i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OHRP Guidance</w:t>
        </w:r>
      </w:hyperlink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recommends that payment should be prorated for the time of participation rather than delayed until study completion when the study is of considerable duration or involves multiple interactions or interventions. </w:t>
      </w:r>
      <w:hyperlink r:id="rId2">
        <w:r w:rsidDel="00000000" w:rsidR="00000000" w:rsidRPr="00000000">
          <w:rPr>
            <w:rFonts w:ascii="Arial Narrow" w:cs="Arial Narrow" w:eastAsia="Arial Narrow" w:hAnsi="Arial Narrow"/>
            <w:b w:val="0"/>
            <w:i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FDA Guidance</w:t>
        </w:r>
      </w:hyperlink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states the amount and timing of payment shouldn’t unduly influence subjects into remaining in the study when they would otherwise have withdrawn.   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8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Coercion is rare.  Examples include an inmate whose care and treatment might be compromised for refusing participation or a Patient may participate in a study run by his or her physician because of the fear or reality that care is contingent on participation. Examples of undue influence include an offer one cannot refuse, a controlling and irresistible influence, and influence strong enough to compel someone to participate against their interests. (NIH presentation, </w:t>
      </w:r>
      <w:hyperlink r:id="rId3">
        <w:r w:rsidDel="00000000" w:rsidR="00000000" w:rsidRPr="00000000">
          <w:rPr>
            <w:rFonts w:ascii="Arial Narrow" w:cs="Arial Narrow" w:eastAsia="Arial Narrow" w:hAnsi="Arial Narrow"/>
            <w:b w:val="0"/>
            <w:i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Ethical and practical considerations of payment research participants</w:t>
        </w:r>
      </w:hyperlink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).  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1016.0" w:type="dxa"/>
      <w:jc w:val="left"/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3359"/>
      <w:gridCol w:w="2561"/>
      <w:gridCol w:w="2581"/>
      <w:gridCol w:w="2515"/>
      <w:tblGridChange w:id="0">
        <w:tblGrid>
          <w:gridCol w:w="3359"/>
          <w:gridCol w:w="2561"/>
          <w:gridCol w:w="2581"/>
          <w:gridCol w:w="2515"/>
        </w:tblGrid>
      </w:tblGridChange>
    </w:tblGrid>
    <w:tr>
      <w:trPr>
        <w:trHeight w:val="360" w:hRule="atLeast"/>
      </w:trPr>
      <w:tc>
        <w:tcPr>
          <w:vMerge w:val="restart"/>
          <w:tcBorders>
            <w:top w:color="000000" w:space="0" w:sz="0" w:val="nil"/>
            <w:left w:color="000000" w:space="0" w:sz="0" w:val="nil"/>
            <w:right w:color="000000" w:space="0" w:sz="0" w:val="nil"/>
          </w:tcBorders>
          <w:vAlign w:val="center"/>
        </w:tcPr>
        <w:p w:rsidR="00000000" w:rsidDel="00000000" w:rsidP="00000000" w:rsidRDefault="00000000" w:rsidRPr="00000000" w14:paraId="0000002B">
          <w:pPr>
            <w:jc w:val="center"/>
            <w:rPr>
              <w:b w:val="1"/>
              <w:color w:val="ffffff"/>
            </w:rPr>
          </w:pPr>
          <w:r w:rsidDel="00000000" w:rsidR="00000000" w:rsidRPr="00000000">
            <w:rPr>
              <w:color w:val="ffffff"/>
            </w:rPr>
            <w:drawing>
              <wp:inline distB="0" distT="0" distL="0" distR="0">
                <wp:extent cx="1996481" cy="54210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6481" cy="542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gridSpan w:val="3"/>
          <w:tcBorders>
            <w:top w:color="000000" w:space="0" w:sz="0" w:val="nil"/>
            <w:left w:color="000000" w:space="0" w:sz="0" w:val="nil"/>
            <w:bottom w:color="000000" w:space="0" w:sz="8" w:val="single"/>
            <w:right w:color="000000" w:space="0" w:sz="0" w:val="nil"/>
          </w:tcBorders>
          <w:vAlign w:val="center"/>
        </w:tcPr>
        <w:p w:rsidR="00000000" w:rsidDel="00000000" w:rsidP="00000000" w:rsidRDefault="00000000" w:rsidRPr="00000000" w14:paraId="0000002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360" w:hRule="atLeast"/>
      </w:trPr>
      <w:tc>
        <w:tcPr>
          <w:vMerge w:val="continue"/>
          <w:tcBorders>
            <w:top w:color="000000" w:space="0" w:sz="0" w:val="nil"/>
            <w:left w:color="000000" w:space="0" w:sz="0" w:val="nil"/>
            <w:right w:color="000000" w:space="0" w:sz="0" w:val="nil"/>
          </w:tcBorders>
          <w:vAlign w:val="center"/>
        </w:tcPr>
        <w:p w:rsidR="00000000" w:rsidDel="00000000" w:rsidP="00000000" w:rsidRDefault="00000000" w:rsidRPr="00000000" w14:paraId="0000002F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3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3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WORKSHEET: 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Payments</w:t>
          </w:r>
          <w:r w:rsidDel="00000000" w:rsidR="00000000" w:rsidRPr="00000000">
            <w:rPr>
              <w:rtl w:val="0"/>
            </w:rPr>
          </w:r>
        </w:p>
      </w:tc>
    </w:tr>
    <w:tr>
      <w:trPr>
        <w:trHeight w:val="195" w:hRule="atLeast"/>
      </w:trPr>
      <w:tc>
        <w:tcPr>
          <w:vMerge w:val="continue"/>
          <w:tcBorders>
            <w:top w:color="000000" w:space="0" w:sz="0" w:val="nil"/>
            <w:left w:color="000000" w:space="0" w:sz="0" w:val="nil"/>
            <w:right w:color="000000" w:space="0" w:sz="0" w:val="nil"/>
          </w:tcBorders>
          <w:vAlign w:val="center"/>
        </w:tcPr>
        <w:p w:rsidR="00000000" w:rsidDel="00000000" w:rsidP="00000000" w:rsidRDefault="00000000" w:rsidRPr="00000000" w14:paraId="00000033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3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NUMBER</w:t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3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DATE</w:t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3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PAGE</w:t>
          </w:r>
        </w:p>
      </w:tc>
    </w:tr>
    <w:tr>
      <w:trPr>
        <w:trHeight w:val="195" w:hRule="atLeast"/>
      </w:trPr>
      <w:tc>
        <w:tcPr>
          <w:vMerge w:val="continue"/>
          <w:tcBorders>
            <w:top w:color="000000" w:space="0" w:sz="0" w:val="nil"/>
            <w:left w:color="000000" w:space="0" w:sz="0" w:val="nil"/>
            <w:right w:color="000000" w:space="0" w:sz="0" w:val="nil"/>
          </w:tcBorders>
          <w:vAlign w:val="center"/>
        </w:tcPr>
        <w:p w:rsidR="00000000" w:rsidDel="00000000" w:rsidP="00000000" w:rsidRDefault="00000000" w:rsidRPr="00000000" w14:paraId="00000037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3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sz w:val="18"/>
              <w:szCs w:val="18"/>
              <w:rtl w:val="0"/>
            </w:rPr>
            <w:t xml:space="preserve">FN2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3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sz w:val="18"/>
              <w:szCs w:val="18"/>
              <w:rtl w:val="0"/>
            </w:rPr>
            <w:t xml:space="preserve">05/04/2020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3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of 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"/>
      <w:lvlJc w:val="left"/>
      <w:pPr>
        <w:ind w:left="720" w:hanging="720"/>
      </w:pPr>
      <w:rPr>
        <w:rFonts w:ascii="Arimo" w:cs="Arimo" w:eastAsia="Arimo" w:hAnsi="Arimo"/>
      </w:rPr>
    </w:lvl>
    <w:lvl w:ilvl="1">
      <w:start w:val="1"/>
      <w:numFmt w:val="decimal"/>
      <w:lvlText w:val="☐  %1.%2"/>
      <w:lvlJc w:val="left"/>
      <w:pPr>
        <w:ind w:left="1080" w:hanging="720"/>
      </w:pPr>
      <w:rPr>
        <w:rFonts w:ascii="Arimo" w:cs="Arimo" w:eastAsia="Arimo" w:hAnsi="Arimo"/>
      </w:rPr>
    </w:lvl>
    <w:lvl w:ilvl="2">
      <w:start w:val="1"/>
      <w:numFmt w:val="decimal"/>
      <w:lvlText w:val="☐    %1.%2.%3"/>
      <w:lvlJc w:val="left"/>
      <w:pPr>
        <w:ind w:left="2268" w:hanging="1007.9999999999998"/>
      </w:pPr>
      <w:rPr>
        <w:rFonts w:ascii="Arimo" w:cs="Arimo" w:eastAsia="Arimo" w:hAnsi="Arimo"/>
      </w:rPr>
    </w:lvl>
    <w:lvl w:ilvl="3">
      <w:start w:val="1"/>
      <w:numFmt w:val="decimal"/>
      <w:lvlText w:val="☐    %1.%2.%3.%4"/>
      <w:lvlJc w:val="left"/>
      <w:pPr>
        <w:ind w:left="3744" w:hanging="1296"/>
      </w:pPr>
      <w:rPr>
        <w:rFonts w:ascii="Arimo" w:cs="Arimo" w:eastAsia="Arimo" w:hAnsi="Arimo"/>
        <w:strike w:val="0"/>
        <w:color w:val="000000"/>
        <w:vertAlign w:val="baseline"/>
      </w:rPr>
    </w:lvl>
    <w:lvl w:ilvl="4">
      <w:start w:val="1"/>
      <w:numFmt w:val="decimal"/>
      <w:lvlText w:val="%1.%2.%3.%4.%5"/>
      <w:lvlJc w:val="left"/>
      <w:pPr>
        <w:ind w:left="5328" w:hanging="1584"/>
      </w:pPr>
      <w:rPr/>
    </w:lvl>
    <w:lvl w:ilvl="5">
      <w:start w:val="1"/>
      <w:numFmt w:val="decimal"/>
      <w:lvlText w:val="%1.%2.%3.%4.%5.%6"/>
      <w:lvlJc w:val="left"/>
      <w:pPr>
        <w:ind w:left="7200" w:hanging="1872"/>
      </w:pPr>
      <w:rPr/>
    </w:lvl>
    <w:lvl w:ilvl="6">
      <w:start w:val="1"/>
      <w:numFmt w:val="decimal"/>
      <w:lvlText w:val="%1.%2.%3.%4.%5.%6.%7"/>
      <w:lvlJc w:val="left"/>
      <w:pPr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584" w:hanging="1584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spacing w:after="60" w:before="240" w:lineRule="auto"/>
      <w:jc w:val="center"/>
    </w:pPr>
    <w:rPr>
      <w:rFonts w:ascii="Arial" w:cs="Arial" w:eastAsia="Arial" w:hAnsi="Arial"/>
      <w:b w:val="1"/>
      <w:sz w:val="32"/>
      <w:szCs w:val="32"/>
    </w:rPr>
  </w:style>
  <w:style w:type="paragraph" w:styleId="Subtitle">
    <w:name w:val="Subtitle"/>
    <w:basedOn w:val="Normal"/>
    <w:next w:val="Normal"/>
    <w:pPr>
      <w:spacing w:after="60" w:lineRule="auto"/>
      <w:jc w:val="center"/>
    </w:pPr>
    <w:rPr>
      <w:rFonts w:ascii="Arial" w:cs="Arial" w:eastAsia="Arial" w:hAnsi="Arial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www.hhs.gov/ohrp/regulations-and-policy/guidance/faq/informed-consent/index.html" TargetMode="External"/><Relationship Id="rId2" Type="http://schemas.openxmlformats.org/officeDocument/2006/relationships/hyperlink" Target="https://www.fda.gov/RegulatoryInformation/Guidances/ucm126429.htm" TargetMode="External"/><Relationship Id="rId3" Type="http://schemas.openxmlformats.org/officeDocument/2006/relationships/hyperlink" Target="https://www.google.com/url?sa=t&amp;rct=j&amp;q=&amp;esrc=s&amp;source=web&amp;cd=5&amp;ved=2ahUKEwjW9b-x767eAhUDCXwKHR2LAn8QFjAEegQICBAC&amp;url=https%3A%2F%2Fwww.niehs.nih.gov%2Fresearch%2Fresources%2Fassets%2Fdocs%2Fethical_and_practical_considerations_of_paying_research_participants_508.pdf&amp;usg=AOvVaw010Tqum9s7y1GWOa7oteks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